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41" w:rightFromText="141" w:vertAnchor="text" w:horzAnchor="margin" w:tblpX="-248" w:tblpY="-194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3"/>
        <w:gridCol w:w="2322"/>
        <w:gridCol w:w="273"/>
        <w:gridCol w:w="1853"/>
        <w:gridCol w:w="3694"/>
      </w:tblGrid>
      <w:tr w:rsidR="005354C0" w:rsidRPr="000C2DAD" w:rsidTr="0097308C">
        <w:tc>
          <w:tcPr>
            <w:tcW w:w="10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354C0" w:rsidRPr="000C2DAD" w:rsidRDefault="005354C0" w:rsidP="0097308C">
            <w:pPr>
              <w:spacing w:before="240"/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0C2DAD">
              <w:rPr>
                <w:b/>
                <w:sz w:val="36"/>
                <w:szCs w:val="36"/>
              </w:rPr>
              <w:t xml:space="preserve">Становище на </w:t>
            </w:r>
          </w:p>
          <w:p w:rsidR="005354C0" w:rsidRPr="000C2DAD" w:rsidRDefault="005354C0" w:rsidP="0097308C">
            <w:pPr>
              <w:spacing w:after="240"/>
              <w:jc w:val="center"/>
              <w:rPr>
                <w:b/>
                <w:sz w:val="36"/>
                <w:szCs w:val="36"/>
                <w:lang w:val="ru-RU"/>
              </w:rPr>
            </w:pPr>
            <w:r w:rsidRPr="000C2DAD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:rsidR="00D559BC" w:rsidRPr="000C2DAD" w:rsidRDefault="005354C0" w:rsidP="0097308C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0C2DAD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354C0" w:rsidRPr="000C2DAD" w:rsidTr="003764EB">
        <w:trPr>
          <w:trHeight w:val="445"/>
        </w:trPr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354C0" w:rsidRPr="000C2DAD" w:rsidRDefault="005354C0" w:rsidP="0097308C">
            <w:pPr>
              <w:ind w:firstLine="0"/>
            </w:pPr>
            <w:r w:rsidRPr="000C2DAD">
              <w:rPr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354C0" w:rsidRPr="000C2DAD" w:rsidRDefault="005354C0" w:rsidP="0097308C">
            <w:pPr>
              <w:ind w:firstLine="0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Вид </w:t>
            </w: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  <w:shd w:val="clear" w:color="auto" w:fill="000000" w:themeFill="text1"/>
              </w:rPr>
              <w:t>оценка:</w:t>
            </w: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 </w:t>
            </w:r>
          </w:p>
        </w:tc>
        <w:tc>
          <w:tcPr>
            <w:tcW w:w="3694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5354C0" w:rsidRPr="000C2DAD" w:rsidRDefault="005354C0" w:rsidP="0097308C">
            <w:pPr>
              <w:ind w:firstLine="0"/>
              <w:jc w:val="left"/>
            </w:pPr>
            <w:r w:rsidRPr="000C2DAD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0C2DAD">
              <w:rPr>
                <w:shd w:val="clear" w:color="auto" w:fill="FFFFFF" w:themeFill="background1"/>
              </w:rPr>
              <w:instrText xml:space="preserve"> FORMDROPDOWN </w:instrText>
            </w:r>
            <w:r w:rsidR="00C02A29">
              <w:rPr>
                <w:shd w:val="clear" w:color="auto" w:fill="FFFFFF" w:themeFill="background1"/>
              </w:rPr>
            </w:r>
            <w:r w:rsidR="00C02A29">
              <w:rPr>
                <w:shd w:val="clear" w:color="auto" w:fill="FFFFFF" w:themeFill="background1"/>
              </w:rPr>
              <w:fldChar w:fldCharType="separate"/>
            </w:r>
            <w:r w:rsidRPr="000C2DAD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5354C0" w:rsidRPr="000C2DAD" w:rsidTr="003764EB">
        <w:trPr>
          <w:trHeight w:val="409"/>
        </w:trPr>
        <w:tc>
          <w:tcPr>
            <w:tcW w:w="4245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5354C0" w:rsidRPr="000C2DAD" w:rsidRDefault="00470406" w:rsidP="003764EB">
            <w:pPr>
              <w:ind w:firstLine="0"/>
            </w:pPr>
            <w:r w:rsidRPr="00470406">
              <w:t xml:space="preserve">Постановление на Министерския съвет за изменение и допълнение на </w:t>
            </w:r>
            <w:r w:rsidR="003764EB" w:rsidRPr="003764EB">
              <w:t>Наредбата за третиране на излезли от употреба гуми</w:t>
            </w:r>
            <w:r w:rsidR="008A6764">
              <w:t xml:space="preserve"> (НИТИУГ)</w:t>
            </w: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354C0" w:rsidRPr="000C2DAD" w:rsidRDefault="005354C0" w:rsidP="0097308C">
            <w:pPr>
              <w:ind w:firstLine="0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Становище по ред:</w:t>
            </w:r>
          </w:p>
        </w:tc>
        <w:tc>
          <w:tcPr>
            <w:tcW w:w="369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5354C0" w:rsidRPr="000C2DAD" w:rsidRDefault="005354C0" w:rsidP="0097308C">
            <w:pPr>
              <w:ind w:firstLine="0"/>
              <w:jc w:val="left"/>
            </w:pPr>
            <w:r w:rsidRPr="000C2DAD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0C2DAD">
              <w:instrText xml:space="preserve"> FORMDROPDOWN </w:instrText>
            </w:r>
            <w:r w:rsidR="00C02A29">
              <w:fldChar w:fldCharType="separate"/>
            </w:r>
            <w:r w:rsidRPr="000C2DAD">
              <w:fldChar w:fldCharType="end"/>
            </w:r>
          </w:p>
        </w:tc>
      </w:tr>
      <w:tr w:rsidR="005354C0" w:rsidRPr="000C2DAD" w:rsidTr="003764EB">
        <w:trPr>
          <w:trHeight w:val="57"/>
        </w:trPr>
        <w:tc>
          <w:tcPr>
            <w:tcW w:w="424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5354C0" w:rsidRPr="000C2DAD" w:rsidRDefault="005354C0" w:rsidP="0097308C">
            <w:pPr>
              <w:ind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354C0" w:rsidRPr="000C2DAD" w:rsidRDefault="00CA4F64" w:rsidP="0097308C">
            <w:pPr>
              <w:ind w:left="13" w:firstLine="0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Номер и д</w:t>
            </w:r>
            <w:r w:rsidR="005354C0"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ата:  </w:t>
            </w:r>
          </w:p>
        </w:tc>
        <w:tc>
          <w:tcPr>
            <w:tcW w:w="369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5354C0" w:rsidRPr="000C2DAD" w:rsidRDefault="00963F26" w:rsidP="0097308C">
            <w:pPr>
              <w:ind w:firstLine="0"/>
              <w:jc w:val="left"/>
            </w:pPr>
            <w:r>
              <w:rPr>
                <w:rFonts w:ascii="Times New Roman" w:hAnsi="Times New Roman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3.5pt;height:36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5354C0" w:rsidRPr="000C2DAD" w:rsidTr="003764EB">
        <w:trPr>
          <w:trHeight w:val="397"/>
        </w:trPr>
        <w:tc>
          <w:tcPr>
            <w:tcW w:w="424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5354C0" w:rsidRPr="000C2DAD" w:rsidRDefault="005354C0" w:rsidP="0097308C">
            <w:pPr>
              <w:ind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354C0" w:rsidRPr="000C2DAD" w:rsidRDefault="005354C0" w:rsidP="0097308C">
            <w:pPr>
              <w:ind w:firstLine="13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 xml:space="preserve">В отговор на №:   </w:t>
            </w:r>
          </w:p>
        </w:tc>
        <w:tc>
          <w:tcPr>
            <w:tcW w:w="369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5354C0" w:rsidRPr="000C2DAD" w:rsidRDefault="00470406" w:rsidP="003764EB">
            <w:pPr>
              <w:ind w:firstLine="0"/>
              <w:jc w:val="left"/>
            </w:pPr>
            <w:r w:rsidRPr="00470406">
              <w:t>03-00-</w:t>
            </w:r>
            <w:r w:rsidR="003764EB">
              <w:t>2</w:t>
            </w:r>
            <w:r w:rsidRPr="00470406">
              <w:t>4/</w:t>
            </w:r>
            <w:r w:rsidR="003764EB">
              <w:t>24.01.2023</w:t>
            </w:r>
            <w:r w:rsidRPr="00470406">
              <w:t xml:space="preserve"> г.</w:t>
            </w:r>
          </w:p>
        </w:tc>
      </w:tr>
      <w:tr w:rsidR="005354C0" w:rsidRPr="000C2DAD" w:rsidTr="003764EB">
        <w:trPr>
          <w:trHeight w:val="57"/>
        </w:trPr>
        <w:tc>
          <w:tcPr>
            <w:tcW w:w="4245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5354C0" w:rsidRPr="000C2DAD" w:rsidRDefault="005354C0" w:rsidP="0097308C">
            <w:pPr>
              <w:ind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354C0" w:rsidRPr="000C2DAD" w:rsidRDefault="005354C0" w:rsidP="0097308C">
            <w:pPr>
              <w:ind w:firstLine="13"/>
              <w:contextualSpacing/>
              <w:jc w:val="left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</w:pPr>
            <w:r w:rsidRPr="000C2DAD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56"/>
              </w:rPr>
              <w:t>Институция:</w:t>
            </w:r>
          </w:p>
        </w:tc>
        <w:tc>
          <w:tcPr>
            <w:tcW w:w="3694" w:type="dxa"/>
            <w:tcBorders>
              <w:left w:val="single" w:sz="6" w:space="0" w:color="FFFFFF" w:themeColor="background1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354C0" w:rsidRPr="000C2DAD" w:rsidRDefault="00470406" w:rsidP="0097308C">
            <w:pPr>
              <w:ind w:firstLine="0"/>
              <w:jc w:val="left"/>
            </w:pPr>
            <w:r>
              <w:t>Министерство на околната среда и водите</w:t>
            </w:r>
          </w:p>
        </w:tc>
      </w:tr>
      <w:tr w:rsidR="005354C0" w:rsidRPr="000C2DAD" w:rsidTr="0097308C">
        <w:trPr>
          <w:trHeight w:val="471"/>
        </w:trPr>
        <w:tc>
          <w:tcPr>
            <w:tcW w:w="192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5354C0" w:rsidRPr="000C2DAD" w:rsidRDefault="005354C0" w:rsidP="0097308C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C2DAD">
              <w:rPr>
                <w:b/>
                <w:sz w:val="24"/>
                <w:szCs w:val="24"/>
              </w:rPr>
              <w:t>Диспозитив:</w:t>
            </w:r>
          </w:p>
        </w:tc>
        <w:tc>
          <w:tcPr>
            <w:tcW w:w="81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354C0" w:rsidRPr="000C2DAD" w:rsidRDefault="00C02A29" w:rsidP="0097308C">
            <w:pPr>
              <w:ind w:firstLine="0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5354C0" w:rsidRPr="000C2DAD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5354C0" w:rsidRPr="000C2DAD">
                <w:instrText xml:space="preserve"> FORMDROPDOWN </w:instrText>
              </w:r>
              <w:r>
                <w:fldChar w:fldCharType="separate"/>
              </w:r>
              <w:r w:rsidR="005354C0" w:rsidRPr="000C2DAD">
                <w:fldChar w:fldCharType="end"/>
              </w:r>
            </w:hyperlink>
          </w:p>
        </w:tc>
      </w:tr>
      <w:tr w:rsidR="005354C0" w:rsidRPr="000C2DAD" w:rsidTr="0097308C">
        <w:tc>
          <w:tcPr>
            <w:tcW w:w="192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5354C0" w:rsidRPr="000C2DAD" w:rsidRDefault="005354C0" w:rsidP="0097308C">
            <w:pPr>
              <w:ind w:firstLine="0"/>
              <w:jc w:val="left"/>
            </w:pPr>
            <w:r w:rsidRPr="000C2DAD">
              <w:rPr>
                <w:b/>
                <w:sz w:val="24"/>
                <w:szCs w:val="24"/>
              </w:rPr>
              <w:t>Основание:</w:t>
            </w:r>
          </w:p>
        </w:tc>
        <w:tc>
          <w:tcPr>
            <w:tcW w:w="259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5354C0" w:rsidRPr="000C2DAD" w:rsidRDefault="005354C0" w:rsidP="0097308C">
            <w:pPr>
              <w:ind w:firstLine="0"/>
              <w:jc w:val="left"/>
            </w:pPr>
            <w:r w:rsidRPr="000C2DAD">
              <w:t>Чл. 30б, ал. 3, т. 2, б. “а</w:t>
            </w:r>
            <w:r w:rsidRPr="000C2DAD">
              <w:rPr>
                <w:lang w:val="ru-RU"/>
              </w:rPr>
              <w:t>”</w:t>
            </w:r>
          </w:p>
        </w:tc>
        <w:tc>
          <w:tcPr>
            <w:tcW w:w="554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5354C0" w:rsidRPr="000C2DAD" w:rsidRDefault="005354C0" w:rsidP="0097308C">
            <w:pPr>
              <w:ind w:firstLine="0"/>
              <w:jc w:val="left"/>
            </w:pPr>
            <w:r w:rsidRPr="000C2DAD"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sectPr w:rsidR="00602DA4" w:rsidSect="0065363D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05D74" w:rsidRPr="00555903" w:rsidTr="0097308C">
        <w:tc>
          <w:tcPr>
            <w:tcW w:w="9923" w:type="dxa"/>
            <w:shd w:val="clear" w:color="auto" w:fill="FFFFFF" w:themeFill="background1"/>
          </w:tcPr>
          <w:p w:rsidR="00555903" w:rsidRPr="00555903" w:rsidRDefault="00555903" w:rsidP="00D61D62">
            <w:pPr>
              <w:pStyle w:val="a"/>
              <w:spacing w:line="276" w:lineRule="auto"/>
            </w:pPr>
            <w:r w:rsidRPr="00555903">
              <w:lastRenderedPageBreak/>
              <w:t>Обща бележка</w:t>
            </w:r>
          </w:p>
          <w:p w:rsidR="00555903" w:rsidRDefault="00555903" w:rsidP="00D61D62">
            <w:pPr>
              <w:spacing w:line="276" w:lineRule="auto"/>
            </w:pPr>
            <w:r w:rsidRPr="00555903">
              <w:t>Наименованието на нормативния акт в заглавието на формуляра на оценката следва да бъде променено от "</w:t>
            </w:r>
            <w:r w:rsidRPr="00555903">
              <w:rPr>
                <w:i/>
              </w:rPr>
              <w:t>Проект на ПМС за изменение и допълнение на нормативни актове</w:t>
            </w:r>
            <w:r w:rsidRPr="00555903">
              <w:t>" в "</w:t>
            </w:r>
            <w:r w:rsidRPr="00555903">
              <w:rPr>
                <w:i/>
              </w:rPr>
              <w:t>Проект на Постановление на Министерския съвет за изменение и допълнение на Наредбата</w:t>
            </w:r>
            <w:r w:rsidRPr="00555903">
              <w:t xml:space="preserve"> за изискванията за третиране на излезли от употреба гуми</w:t>
            </w:r>
            <w:r>
              <w:t>".</w:t>
            </w:r>
            <w:r w:rsidRPr="00555903">
              <w:t xml:space="preserve"> От изложената в оценката информация става ясно, че изменения</w:t>
            </w:r>
            <w:r>
              <w:t>та</w:t>
            </w:r>
            <w:r w:rsidRPr="00555903">
              <w:t xml:space="preserve"> и допълнения</w:t>
            </w:r>
            <w:r>
              <w:t xml:space="preserve">та касаят </w:t>
            </w:r>
            <w:r w:rsidRPr="00555903">
              <w:t>само посочената наредба.</w:t>
            </w:r>
          </w:p>
          <w:p w:rsidR="00EF1144" w:rsidRDefault="00EF1144" w:rsidP="00644145">
            <w:pPr>
              <w:spacing w:line="276" w:lineRule="auto"/>
            </w:pPr>
            <w:r>
              <w:t xml:space="preserve">Също така, </w:t>
            </w:r>
            <w:r w:rsidR="00113E2C">
              <w:t xml:space="preserve">през декември 2022 г. са били приети изменения в </w:t>
            </w:r>
            <w:r w:rsidR="00966D54">
              <w:t xml:space="preserve">тази </w:t>
            </w:r>
            <w:r w:rsidR="00113E2C">
              <w:t xml:space="preserve">наредба. </w:t>
            </w:r>
            <w:r w:rsidR="00C75F4B">
              <w:t>Обръщаме внимание</w:t>
            </w:r>
            <w:r w:rsidR="00113E2C">
              <w:t xml:space="preserve">, че </w:t>
            </w:r>
            <w:r w:rsidR="00966D54">
              <w:t xml:space="preserve">политиката </w:t>
            </w:r>
            <w:r w:rsidR="00644145">
              <w:t xml:space="preserve">за </w:t>
            </w:r>
            <w:r w:rsidR="00966D54">
              <w:t>добро</w:t>
            </w:r>
            <w:r w:rsidR="00113E2C" w:rsidRPr="00113E2C">
              <w:t xml:space="preserve"> планиране на законодателството изисква </w:t>
            </w:r>
            <w:r w:rsidR="00546514" w:rsidRPr="00546514">
              <w:t xml:space="preserve">намаляване на броя на </w:t>
            </w:r>
            <w:r w:rsidR="00644145" w:rsidRPr="00644145">
              <w:t>измененията и допълненията на нормативните актове</w:t>
            </w:r>
            <w:r w:rsidR="00644145">
              <w:t xml:space="preserve">. </w:t>
            </w:r>
          </w:p>
          <w:p w:rsidR="00D86B21" w:rsidRDefault="00D86B21" w:rsidP="00644145">
            <w:pPr>
              <w:pStyle w:val="a"/>
            </w:pPr>
            <w:r w:rsidRPr="00555903">
              <w:t>Относно раздел 1 „</w:t>
            </w:r>
            <w:r w:rsidR="008F5607" w:rsidRPr="00555903">
              <w:t>Проблем/проблеми за решаване</w:t>
            </w:r>
            <w:r w:rsidRPr="00555903">
              <w:t>”</w:t>
            </w:r>
          </w:p>
          <w:p w:rsidR="00D61D62" w:rsidRDefault="00644145" w:rsidP="00D61D62">
            <w:pPr>
              <w:spacing w:line="276" w:lineRule="auto"/>
            </w:pPr>
            <w:r>
              <w:t>Така дефиниран</w:t>
            </w:r>
            <w:r w:rsidR="000B498E">
              <w:t>,</w:t>
            </w:r>
            <w:r>
              <w:t xml:space="preserve"> проблемът е</w:t>
            </w:r>
            <w:r w:rsidR="00AF3A33">
              <w:t xml:space="preserve"> трудноразбираем и неясен. В тази връзка предлагаме в </w:t>
            </w:r>
            <w:r w:rsidR="00BD0BD2">
              <w:t xml:space="preserve">т. 1 </w:t>
            </w:r>
            <w:r w:rsidR="00016B4E">
              <w:t xml:space="preserve">проблемът </w:t>
            </w:r>
            <w:r w:rsidR="00BD0BD2">
              <w:t xml:space="preserve">да </w:t>
            </w:r>
            <w:r w:rsidR="00AF3A33">
              <w:t xml:space="preserve">се </w:t>
            </w:r>
            <w:r>
              <w:t xml:space="preserve">преформулира, </w:t>
            </w:r>
            <w:r w:rsidR="00016B4E">
              <w:t xml:space="preserve">като </w:t>
            </w:r>
            <w:r w:rsidR="00BD0BD2">
              <w:t>ц</w:t>
            </w:r>
            <w:r w:rsidR="008A6764" w:rsidRPr="008A6764">
              <w:t>итира</w:t>
            </w:r>
            <w:r w:rsidR="008A6764">
              <w:t xml:space="preserve">ните </w:t>
            </w:r>
            <w:r w:rsidR="008A6764" w:rsidRPr="008A6764">
              <w:t>членове</w:t>
            </w:r>
            <w:r w:rsidR="008A6764">
              <w:t xml:space="preserve"> от </w:t>
            </w:r>
            <w:r w:rsidR="008A6764" w:rsidRPr="008A6764">
              <w:rPr>
                <w:i/>
              </w:rPr>
              <w:t xml:space="preserve">Наредбата </w:t>
            </w:r>
            <w:r w:rsidR="008A6764" w:rsidRPr="008A6764">
              <w:t xml:space="preserve">се заместят с информацията, която се съдържа в </w:t>
            </w:r>
            <w:r w:rsidR="00016B4E">
              <w:t>тях.</w:t>
            </w:r>
          </w:p>
          <w:p w:rsidR="0023700C" w:rsidRPr="00453ECB" w:rsidRDefault="000B498E" w:rsidP="00D61D62">
            <w:pPr>
              <w:spacing w:line="276" w:lineRule="auto"/>
            </w:pPr>
            <w:r w:rsidRPr="000B498E">
              <w:t>Наличието на статистически да</w:t>
            </w:r>
            <w:r>
              <w:t xml:space="preserve">нни, </w:t>
            </w:r>
            <w:r w:rsidRPr="0023700C">
              <w:t>информация от регистри и</w:t>
            </w:r>
            <w:r>
              <w:t xml:space="preserve">ли друга релевантна информация в този раздел </w:t>
            </w:r>
            <w:r w:rsidRPr="000B498E">
              <w:t xml:space="preserve">ще </w:t>
            </w:r>
            <w:r>
              <w:t xml:space="preserve">създадат реална представа за естеството и мащаба на проблема. </w:t>
            </w:r>
            <w:r w:rsidR="00016B4E">
              <w:t>(</w:t>
            </w:r>
            <w:r w:rsidR="000864B6">
              <w:t xml:space="preserve">напр. </w:t>
            </w:r>
            <w:r w:rsidR="00453ECB">
              <w:t xml:space="preserve">от </w:t>
            </w:r>
            <w:r w:rsidR="00016B4E" w:rsidRPr="00453ECB">
              <w:rPr>
                <w:i/>
              </w:rPr>
              <w:t>Справка</w:t>
            </w:r>
            <w:r w:rsidR="00453ECB" w:rsidRPr="00453ECB">
              <w:rPr>
                <w:i/>
              </w:rPr>
              <w:t>та</w:t>
            </w:r>
            <w:r w:rsidR="00016B4E" w:rsidRPr="00453ECB">
              <w:rPr>
                <w:i/>
              </w:rPr>
              <w:t xml:space="preserve"> за количествата пуснати на пазара гуми</w:t>
            </w:r>
            <w:r w:rsidR="00016B4E">
              <w:t xml:space="preserve">, </w:t>
            </w:r>
            <w:r w:rsidR="000864B6">
              <w:t xml:space="preserve">информация от </w:t>
            </w:r>
            <w:r w:rsidR="000864B6" w:rsidRPr="00016B4E">
              <w:rPr>
                <w:i/>
              </w:rPr>
              <w:t>Публич</w:t>
            </w:r>
            <w:r w:rsidR="00453ECB">
              <w:rPr>
                <w:i/>
              </w:rPr>
              <w:t xml:space="preserve">ния </w:t>
            </w:r>
            <w:r w:rsidR="000864B6" w:rsidRPr="00016B4E">
              <w:rPr>
                <w:i/>
              </w:rPr>
              <w:t>регистър на лицата, които пускат на пазара гуми</w:t>
            </w:r>
            <w:r w:rsidR="000864B6">
              <w:rPr>
                <w:i/>
              </w:rPr>
              <w:t xml:space="preserve"> </w:t>
            </w:r>
            <w:r w:rsidR="000864B6" w:rsidRPr="00966D54">
              <w:t>и</w:t>
            </w:r>
            <w:r w:rsidR="00966D54" w:rsidRPr="00966D54">
              <w:t>ли</w:t>
            </w:r>
            <w:r w:rsidR="000864B6">
              <w:rPr>
                <w:i/>
              </w:rPr>
              <w:t xml:space="preserve"> </w:t>
            </w:r>
            <w:r w:rsidR="000864B6" w:rsidRPr="00966D54">
              <w:t>др</w:t>
            </w:r>
            <w:r w:rsidR="00966D54">
              <w:t>уги</w:t>
            </w:r>
            <w:r w:rsidR="00453ECB">
              <w:rPr>
                <w:i/>
              </w:rPr>
              <w:t xml:space="preserve"> </w:t>
            </w:r>
            <w:r w:rsidR="00453ECB">
              <w:t>използвани източници на информ</w:t>
            </w:r>
            <w:r w:rsidR="00453ECB" w:rsidRPr="00453ECB">
              <w:t>ация</w:t>
            </w:r>
            <w:r w:rsidR="00453ECB">
              <w:rPr>
                <w:i/>
              </w:rPr>
              <w:t xml:space="preserve">, </w:t>
            </w:r>
            <w:r w:rsidR="00453ECB" w:rsidRPr="00453ECB">
              <w:t>които се</w:t>
            </w:r>
            <w:r w:rsidR="00453ECB">
              <w:rPr>
                <w:i/>
              </w:rPr>
              <w:t xml:space="preserve"> </w:t>
            </w:r>
            <w:r w:rsidRPr="001C2C59">
              <w:rPr>
                <w:sz w:val="20"/>
                <w:szCs w:val="20"/>
              </w:rPr>
              <w:t>посоч</w:t>
            </w:r>
            <w:r w:rsidR="00453ECB">
              <w:rPr>
                <w:sz w:val="20"/>
                <w:szCs w:val="20"/>
              </w:rPr>
              <w:t>в</w:t>
            </w:r>
            <w:r w:rsidRPr="001C2C59">
              <w:rPr>
                <w:sz w:val="20"/>
                <w:szCs w:val="20"/>
              </w:rPr>
              <w:t>ат в раздел 11 от оценката</w:t>
            </w:r>
            <w:r w:rsidR="000864B6" w:rsidRPr="00453ECB">
              <w:t>)</w:t>
            </w:r>
            <w:r w:rsidR="00453ECB">
              <w:t>.</w:t>
            </w:r>
          </w:p>
          <w:p w:rsidR="00364586" w:rsidRPr="00555903" w:rsidRDefault="00364586" w:rsidP="00D61D62">
            <w:pPr>
              <w:pStyle w:val="a"/>
              <w:spacing w:line="276" w:lineRule="auto"/>
            </w:pPr>
            <w:r w:rsidRPr="00555903">
              <w:t>Относно раздел 3 „Заинтересовани страни”</w:t>
            </w:r>
          </w:p>
          <w:p w:rsidR="00113E2C" w:rsidRDefault="00966D54" w:rsidP="00D61D62">
            <w:pPr>
              <w:spacing w:line="276" w:lineRule="auto"/>
            </w:pPr>
            <w:r>
              <w:t>Н</w:t>
            </w:r>
            <w:r w:rsidR="000864B6" w:rsidRPr="000864B6">
              <w:t xml:space="preserve">еобходимо да се </w:t>
            </w:r>
            <w:r w:rsidR="000853F9">
              <w:t>определят</w:t>
            </w:r>
            <w:r w:rsidR="000864B6" w:rsidRPr="000864B6">
              <w:t xml:space="preserve"> видовете заинтересовани страни и техния брой.</w:t>
            </w:r>
            <w:r w:rsidR="000864B6">
              <w:t xml:space="preserve"> </w:t>
            </w:r>
            <w:r w:rsidR="000853F9">
              <w:t>Следва</w:t>
            </w:r>
            <w:r w:rsidR="000864B6" w:rsidRPr="000864B6">
              <w:t xml:space="preserve"> </w:t>
            </w:r>
            <w:r w:rsidR="000864B6">
              <w:t xml:space="preserve">да се </w:t>
            </w:r>
            <w:r w:rsidR="000853F9">
              <w:t>посочат кои ще са</w:t>
            </w:r>
            <w:r w:rsidR="000864B6">
              <w:t xml:space="preserve"> пряко и косвено засегнатите страни, като </w:t>
            </w:r>
            <w:r>
              <w:t xml:space="preserve">допълнително </w:t>
            </w:r>
            <w:r w:rsidR="000864B6">
              <w:t xml:space="preserve">се включат и посочените в раздел 4 </w:t>
            </w:r>
            <w:r w:rsidR="000864B6" w:rsidRPr="000853F9">
              <w:rPr>
                <w:i/>
              </w:rPr>
              <w:t>граждани, общини и др</w:t>
            </w:r>
            <w:r w:rsidR="000864B6">
              <w:t>.,</w:t>
            </w:r>
            <w:r>
              <w:t xml:space="preserve"> както</w:t>
            </w:r>
            <w:r w:rsidR="000864B6">
              <w:t xml:space="preserve"> и </w:t>
            </w:r>
            <w:r w:rsidR="00113E2C">
              <w:t>съответните държавни</w:t>
            </w:r>
            <w:r w:rsidR="000864B6" w:rsidRPr="000864B6">
              <w:t xml:space="preserve"> институции, които </w:t>
            </w:r>
            <w:r w:rsidR="00113E2C">
              <w:t xml:space="preserve">биха имали контролни или други функции. </w:t>
            </w:r>
          </w:p>
          <w:p w:rsidR="00715FD8" w:rsidRPr="00555903" w:rsidRDefault="00715FD8" w:rsidP="00D61D62">
            <w:pPr>
              <w:pStyle w:val="a"/>
              <w:spacing w:line="276" w:lineRule="auto"/>
            </w:pPr>
            <w:r w:rsidRPr="00555903">
              <w:t>Относно раздел 4 „</w:t>
            </w:r>
            <w:r w:rsidR="008F5607" w:rsidRPr="00555903">
              <w:t>Варианти на действие. Анализ на въздействията.</w:t>
            </w:r>
            <w:r w:rsidR="00F8315B" w:rsidRPr="00555903">
              <w:t>”</w:t>
            </w:r>
          </w:p>
          <w:p w:rsidR="00D61D62" w:rsidRDefault="00FC2A56" w:rsidP="007B4B7B">
            <w:pPr>
              <w:spacing w:line="276" w:lineRule="auto"/>
            </w:pPr>
            <w:r>
              <w:t xml:space="preserve">Във връзка с наименованието на </w:t>
            </w:r>
            <w:r w:rsidRPr="00FC2A56">
              <w:rPr>
                <w:i/>
              </w:rPr>
              <w:t>Вариант 2 „Приемане на проект на ПМС за изменение и допълнение на НИТИУГ“</w:t>
            </w:r>
            <w:r>
              <w:t xml:space="preserve">, напомняме, че </w:t>
            </w:r>
            <w:r w:rsidRPr="00FC2A56">
              <w:t xml:space="preserve">не се оценяват като алтернативни варианти приемането или </w:t>
            </w:r>
            <w:r w:rsidRPr="00FC2A56">
              <w:lastRenderedPageBreak/>
              <w:t xml:space="preserve">неприемането на </w:t>
            </w:r>
            <w:r>
              <w:t>нормативния акт</w:t>
            </w:r>
            <w:r w:rsidR="007B4B7B">
              <w:t>. Н</w:t>
            </w:r>
            <w:r w:rsidRPr="00FC2A56">
              <w:t>аименовани</w:t>
            </w:r>
            <w:r w:rsidR="007B4B7B">
              <w:t xml:space="preserve">ето </w:t>
            </w:r>
            <w:r w:rsidRPr="00FC2A56">
              <w:t xml:space="preserve">на </w:t>
            </w:r>
            <w:r w:rsidRPr="00FC2A56">
              <w:rPr>
                <w:i/>
              </w:rPr>
              <w:t>Вариант 2</w:t>
            </w:r>
            <w:r w:rsidRPr="00FC2A56">
              <w:t xml:space="preserve"> </w:t>
            </w:r>
            <w:r w:rsidR="007B4B7B">
              <w:t xml:space="preserve">трябва </w:t>
            </w:r>
            <w:r w:rsidRPr="00FC2A56">
              <w:t>да бъд</w:t>
            </w:r>
            <w:r>
              <w:t>е</w:t>
            </w:r>
            <w:r w:rsidRPr="00FC2A56">
              <w:t xml:space="preserve"> в зависимост от конкретното действие, насочено към разрешаване</w:t>
            </w:r>
            <w:r w:rsidR="007B4B7B">
              <w:t>то</w:t>
            </w:r>
            <w:r w:rsidRPr="00FC2A56">
              <w:t xml:space="preserve"> на проблем</w:t>
            </w:r>
            <w:r w:rsidR="007B4B7B">
              <w:t xml:space="preserve">а и при представянето </w:t>
            </w:r>
            <w:r w:rsidR="000D2F49">
              <w:t>на този вариант се описват</w:t>
            </w:r>
            <w:r w:rsidR="007B4B7B">
              <w:t xml:space="preserve"> </w:t>
            </w:r>
            <w:r w:rsidR="00D61D62" w:rsidRPr="00D61D62">
              <w:t xml:space="preserve">конкретните </w:t>
            </w:r>
            <w:r>
              <w:t>предложения за промени</w:t>
            </w:r>
            <w:r w:rsidR="000D2F49">
              <w:t xml:space="preserve"> в наредбата</w:t>
            </w:r>
            <w:r>
              <w:t>.</w:t>
            </w:r>
          </w:p>
          <w:p w:rsidR="008F5607" w:rsidRPr="00555903" w:rsidRDefault="008F5607" w:rsidP="00D31A0E">
            <w:pPr>
              <w:pStyle w:val="a"/>
            </w:pPr>
            <w:r w:rsidRPr="00555903">
              <w:t xml:space="preserve">Относно раздел </w:t>
            </w:r>
            <w:r w:rsidR="00D31A0E">
              <w:t>7</w:t>
            </w:r>
            <w:r w:rsidRPr="00555903">
              <w:t xml:space="preserve"> „</w:t>
            </w:r>
            <w:r w:rsidR="00D31A0E" w:rsidRPr="00D31A0E">
              <w:t>Консултации</w:t>
            </w:r>
            <w:r w:rsidRPr="00555903">
              <w:t>”</w:t>
            </w:r>
          </w:p>
          <w:p w:rsidR="00D31A0E" w:rsidRDefault="00D31A0E" w:rsidP="00D61D62">
            <w:pPr>
              <w:spacing w:line="276" w:lineRule="auto"/>
            </w:pPr>
            <w:r w:rsidRPr="00D31A0E">
              <w:t xml:space="preserve">Съгласно </w:t>
            </w:r>
            <w:r w:rsidRPr="000D2F49">
              <w:rPr>
                <w:i/>
              </w:rPr>
              <w:t>Закона за нормативните актове</w:t>
            </w:r>
            <w:r w:rsidR="00554C35" w:rsidRPr="000D2F49">
              <w:rPr>
                <w:i/>
              </w:rPr>
              <w:t xml:space="preserve"> (ЗНА)</w:t>
            </w:r>
            <w:r w:rsidR="00554C35">
              <w:rPr>
                <w:b/>
              </w:rPr>
              <w:t xml:space="preserve"> </w:t>
            </w:r>
            <w:r w:rsidRPr="00D31A0E">
              <w:t>срокът за провеждане на обществени консултации не може да бъде по-кратък от 30 дни. С оглед на това следва да се посочат причините за определения по-кратък срок от 14 дни.</w:t>
            </w:r>
          </w:p>
          <w:p w:rsidR="00D31A0E" w:rsidRDefault="00D31A0E" w:rsidP="00D31A0E">
            <w:pPr>
              <w:pStyle w:val="a"/>
            </w:pPr>
            <w:r w:rsidRPr="00D31A0E">
              <w:t>Относно раздел 10 „Приложения”:</w:t>
            </w:r>
          </w:p>
          <w:p w:rsidR="00236E43" w:rsidRPr="000F40E1" w:rsidRDefault="00554C35" w:rsidP="000D2F49">
            <w:pPr>
              <w:spacing w:line="276" w:lineRule="auto"/>
            </w:pPr>
            <w:r>
              <w:t>С</w:t>
            </w:r>
            <w:r w:rsidRPr="00554C35">
              <w:t xml:space="preserve">ъгласно чл. 20, ал. 2 от </w:t>
            </w:r>
            <w:r w:rsidRPr="000D2F49">
              <w:rPr>
                <w:i/>
              </w:rPr>
              <w:t>ЗНА</w:t>
            </w:r>
            <w:r w:rsidRPr="00554C35">
              <w:t xml:space="preserve"> извършването на частична предварителна оценка на въздействието предхожда изработването на всеки проект на подзаконов нормативен акт на Министерския съвет</w:t>
            </w:r>
            <w:r>
              <w:t>.</w:t>
            </w:r>
            <w:r w:rsidRPr="00554C35">
              <w:t xml:space="preserve"> </w:t>
            </w:r>
            <w:r>
              <w:t xml:space="preserve">Отбелязваме, че </w:t>
            </w:r>
            <w:r w:rsidR="00D31A0E">
              <w:t xml:space="preserve">правилно на този етап не </w:t>
            </w:r>
            <w:r w:rsidR="000D2F49">
              <w:t>сте раз</w:t>
            </w:r>
            <w:r w:rsidR="00D31A0E">
              <w:t>работ</w:t>
            </w:r>
            <w:r w:rsidR="000D2F49">
              <w:t>или та</w:t>
            </w:r>
            <w:r>
              <w:t xml:space="preserve">къв </w:t>
            </w:r>
            <w:r w:rsidR="00D31A0E">
              <w:t>п</w:t>
            </w:r>
            <w:r w:rsidR="000F40E1">
              <w:t>роект</w:t>
            </w:r>
            <w:r w:rsidR="000D2F49">
              <w:t xml:space="preserve">. В този раздел следва да се посочат допълнителни документи или друга съпътстваща информация относно разглежданата тематика, </w:t>
            </w:r>
            <w:r w:rsidR="000F40E1">
              <w:t>в</w:t>
            </w:r>
            <w:r w:rsidR="000D2F49">
              <w:t xml:space="preserve"> случай че се налага да се приложи към формуляра на оценката на въздействието.</w:t>
            </w:r>
          </w:p>
        </w:tc>
      </w:tr>
    </w:tbl>
    <w:p w:rsidR="00602DA4" w:rsidRPr="0097308C" w:rsidRDefault="00602DA4" w:rsidP="0097308C">
      <w:pPr>
        <w:spacing w:line="276" w:lineRule="auto"/>
        <w:rPr>
          <w:sz w:val="10"/>
          <w:szCs w:val="10"/>
        </w:rPr>
      </w:pPr>
    </w:p>
    <w:tbl>
      <w:tblPr>
        <w:tblStyle w:val="TableGrid"/>
        <w:tblW w:w="9923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40FB" w:rsidRPr="00B640FB" w:rsidTr="0097308C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8338D" w:rsidRPr="00B640FB" w:rsidRDefault="00A8338D" w:rsidP="0097308C">
            <w:pPr>
              <w:pStyle w:val="Title"/>
              <w:spacing w:line="276" w:lineRule="auto"/>
              <w:rPr>
                <w:rStyle w:val="SubtleEmphasis"/>
                <w:color w:val="auto"/>
              </w:rPr>
            </w:pPr>
            <w:r w:rsidRPr="00B640FB">
              <w:rPr>
                <w:rStyle w:val="SubtleEmphasis"/>
                <w:color w:val="auto"/>
              </w:rPr>
              <w:t xml:space="preserve">*  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</w:t>
            </w:r>
            <w:r w:rsidRPr="00B640FB">
              <w:rPr>
                <w:rStyle w:val="SubtleEmphasis"/>
              </w:rPr>
              <w:t>правилник</w:t>
            </w:r>
            <w:r w:rsidRPr="00B640FB">
              <w:rPr>
                <w:rStyle w:val="SubtleEmphasis"/>
                <w:color w:val="auto"/>
              </w:rPr>
              <w:t xml:space="preserve"> на Министерския съвет и на неговата администрация.</w:t>
            </w:r>
          </w:p>
          <w:p w:rsidR="00A8338D" w:rsidRPr="00B640FB" w:rsidRDefault="00A8338D" w:rsidP="0097308C">
            <w:pPr>
              <w:pStyle w:val="Title"/>
              <w:spacing w:line="276" w:lineRule="auto"/>
              <w:rPr>
                <w:rStyle w:val="SubtleEmphasis"/>
                <w:color w:val="auto"/>
              </w:rPr>
            </w:pPr>
            <w:r w:rsidRPr="00B640FB">
              <w:rPr>
                <w:rStyle w:val="SubtleEmphasis"/>
                <w:color w:val="auto"/>
              </w:rPr>
              <w:t>**   При съгласуването по чл. 32 от Устройствения правилник на Министерския съвет и на неговата администрация се съпоставят кръгът от въпроси, проблеми и решения, разгледани в оценката на въздействието и кръгът от въпроси, засегнати от обхвата на нормативната намеса в проекта на акт.</w:t>
            </w:r>
          </w:p>
        </w:tc>
      </w:tr>
      <w:tr w:rsidR="00B640FB" w:rsidRPr="00B640FB" w:rsidTr="0097308C"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8338D" w:rsidRPr="00B640FB" w:rsidRDefault="00A8338D" w:rsidP="0097308C">
            <w:pPr>
              <w:pStyle w:val="Title"/>
              <w:spacing w:line="276" w:lineRule="auto"/>
              <w:rPr>
                <w:rStyle w:val="SubtleEmphasis"/>
                <w:color w:val="auto"/>
              </w:rPr>
            </w:pPr>
            <w:r w:rsidRPr="00B640FB">
              <w:rPr>
                <w:rStyle w:val="SubtleEmphasis"/>
                <w:color w:val="auto"/>
              </w:rPr>
              <w:t>***   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B640FB" w:rsidRPr="00B640FB" w:rsidTr="0097308C">
        <w:tc>
          <w:tcPr>
            <w:tcW w:w="9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38D" w:rsidRPr="00B640FB" w:rsidRDefault="00A8338D" w:rsidP="0097308C">
            <w:pPr>
              <w:pStyle w:val="Title"/>
              <w:spacing w:line="276" w:lineRule="auto"/>
              <w:rPr>
                <w:rStyle w:val="SubtleEmphasis"/>
                <w:color w:val="auto"/>
              </w:rPr>
            </w:pPr>
            <w:r w:rsidRPr="00B640FB">
              <w:rPr>
                <w:rStyle w:val="SubtleEmphasis"/>
                <w:color w:val="auto"/>
              </w:rPr>
              <w:t>****  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B640FB" w:rsidRPr="00B640FB" w:rsidTr="0097308C">
        <w:tc>
          <w:tcPr>
            <w:tcW w:w="99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821" w:rsidRPr="004D7821" w:rsidRDefault="004D7821" w:rsidP="0097308C">
            <w:pPr>
              <w:pStyle w:val="a0"/>
              <w:spacing w:before="120"/>
            </w:pPr>
            <w:r w:rsidRPr="004D7821">
              <w:t>ДИРЕКТОР НА ДИРЕКЦИЯ</w:t>
            </w:r>
          </w:p>
          <w:p w:rsidR="004D7821" w:rsidRPr="004D7821" w:rsidRDefault="004D7821" w:rsidP="0097308C">
            <w:pPr>
              <w:pStyle w:val="a0"/>
            </w:pPr>
            <w:r w:rsidRPr="004D7821">
              <w:t>„МОДЕРНИЗАЦИЯ НА АДМИНИСТРАЦИЯТА“</w:t>
            </w:r>
          </w:p>
          <w:p w:rsidR="004D7821" w:rsidRPr="004D7821" w:rsidRDefault="00963F26" w:rsidP="0097308C">
            <w:pPr>
              <w:pStyle w:val="a0"/>
              <w:ind w:firstLine="5847"/>
              <w:rPr>
                <w:sz w:val="2"/>
                <w:szCs w:val="2"/>
                <w:lang w:val="ru-RU"/>
              </w:rPr>
            </w:pPr>
            <w:r>
              <w:pict>
                <v:shape id="_x0000_i1026" type="#_x0000_t75" alt="Microsoft Office Signature Line..." style="width:122.25pt;height:54.75pt">
                  <v:imagedata r:id="rId11" o:title=""/>
                  <o:lock v:ext="edit" ungrouping="t" rotation="t" cropping="t" verticies="t" text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:rsidR="00F1178C" w:rsidRPr="004D7821" w:rsidRDefault="004D7821" w:rsidP="0097308C">
            <w:pPr>
              <w:pStyle w:val="a0"/>
              <w:ind w:firstLine="5989"/>
              <w:rPr>
                <w:rStyle w:val="SubtleEmphasis"/>
                <w:rFonts w:ascii="Times New Roman" w:hAnsi="Times New Roman"/>
                <w:iCs w:val="0"/>
                <w:color w:val="auto"/>
                <w:sz w:val="24"/>
                <w:lang w:val="ru-RU"/>
              </w:rPr>
            </w:pPr>
            <w:r w:rsidRPr="004D7821">
              <w:rPr>
                <w:lang w:val="ru-RU"/>
              </w:rPr>
              <w:t>(</w:t>
            </w:r>
            <w:r w:rsidR="00C21F69">
              <w:rPr>
                <w:lang w:val="ru-RU"/>
              </w:rPr>
              <w:t>НИКОЛИНА СТОЯНОВА</w:t>
            </w:r>
            <w:r w:rsidRPr="004D7821">
              <w:rPr>
                <w:lang w:val="ru-RU"/>
              </w:rPr>
              <w:t>)</w:t>
            </w:r>
          </w:p>
        </w:tc>
      </w:tr>
    </w:tbl>
    <w:p w:rsidR="00602DA4" w:rsidRPr="0097308C" w:rsidRDefault="00602DA4" w:rsidP="00F03BC9">
      <w:pPr>
        <w:ind w:firstLine="0"/>
        <w:rPr>
          <w:sz w:val="2"/>
          <w:szCs w:val="2"/>
        </w:rPr>
      </w:pPr>
    </w:p>
    <w:sectPr w:rsidR="00602DA4" w:rsidRPr="0097308C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29" w:rsidRDefault="00C02A29" w:rsidP="004568A7">
      <w:pPr>
        <w:spacing w:after="0"/>
      </w:pPr>
      <w:r>
        <w:separator/>
      </w:r>
    </w:p>
  </w:endnote>
  <w:endnote w:type="continuationSeparator" w:id="0">
    <w:p w:rsidR="00C02A29" w:rsidRDefault="00C02A29" w:rsidP="004568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  <w:r>
      <w:rPr>
        <w:rFonts w:ascii="Times New Roman" w:eastAsia="Times New Roman" w:hAnsi="Times New Roman" w:cs="Times New Roman"/>
        <w:i/>
        <w:sz w:val="20"/>
        <w:szCs w:val="20"/>
      </w:rPr>
      <w:tab/>
    </w:r>
  </w:p>
  <w:p w:rsidR="0065363D" w:rsidRPr="00DB0CA9" w:rsidRDefault="0065363D" w:rsidP="0065363D">
    <w:pPr>
      <w:pBdr>
        <w:top w:val="single" w:sz="6" w:space="1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hAnsi="Times New Roman"/>
        <w:i/>
        <w:sz w:val="20"/>
      </w:rPr>
    </w:pPr>
    <w:r w:rsidRPr="00DB0CA9">
      <w:rPr>
        <w:rFonts w:ascii="Times New Roman" w:hAnsi="Times New Roman"/>
        <w:i/>
        <w:sz w:val="20"/>
      </w:rPr>
      <w:t>гр. София, бул. „Дондуков” № 1, тел. централа: 02/ 940-29-99, факс: 02/  981-81-70</w:t>
    </w:r>
  </w:p>
  <w:p w:rsidR="0065363D" w:rsidRPr="00D42109" w:rsidRDefault="0065363D" w:rsidP="0065363D">
    <w:pPr>
      <w:tabs>
        <w:tab w:val="right" w:pos="9072"/>
      </w:tabs>
      <w:jc w:val="right"/>
    </w:pPr>
    <w:r w:rsidRPr="00DB0CA9">
      <w:rPr>
        <w:rFonts w:ascii="Times New Roman" w:hAnsi="Times New Roman"/>
        <w:b/>
        <w:sz w:val="16"/>
        <w:szCs w:val="16"/>
      </w:rPr>
      <w:t xml:space="preserve">Страница </w:t>
    </w:r>
    <w:r w:rsidRPr="00DB0CA9">
      <w:rPr>
        <w:rFonts w:ascii="Times New Roman" w:hAnsi="Times New Roman"/>
        <w:b/>
        <w:bCs/>
        <w:sz w:val="16"/>
        <w:szCs w:val="16"/>
      </w:rPr>
      <w:fldChar w:fldCharType="begin"/>
    </w:r>
    <w:r w:rsidRPr="00DB0CA9">
      <w:rPr>
        <w:rFonts w:ascii="Times New Roman" w:hAnsi="Times New Roman"/>
        <w:b/>
        <w:bCs/>
        <w:sz w:val="16"/>
        <w:szCs w:val="16"/>
      </w:rPr>
      <w:instrText xml:space="preserve"> PAGE </w:instrText>
    </w:r>
    <w:r w:rsidRPr="00DB0CA9">
      <w:rPr>
        <w:rFonts w:ascii="Times New Roman" w:hAnsi="Times New Roman"/>
        <w:b/>
        <w:bCs/>
        <w:sz w:val="16"/>
        <w:szCs w:val="16"/>
      </w:rPr>
      <w:fldChar w:fldCharType="separate"/>
    </w:r>
    <w:r w:rsidR="00963F26">
      <w:rPr>
        <w:rFonts w:ascii="Times New Roman" w:hAnsi="Times New Roman"/>
        <w:b/>
        <w:bCs/>
        <w:noProof/>
        <w:sz w:val="16"/>
        <w:szCs w:val="16"/>
      </w:rPr>
      <w:t>2</w:t>
    </w:r>
    <w:r w:rsidRPr="00DB0CA9">
      <w:rPr>
        <w:rFonts w:ascii="Times New Roman" w:hAnsi="Times New Roman"/>
        <w:b/>
        <w:bCs/>
        <w:sz w:val="16"/>
        <w:szCs w:val="16"/>
      </w:rPr>
      <w:fldChar w:fldCharType="end"/>
    </w:r>
    <w:r w:rsidRPr="00DB0CA9">
      <w:rPr>
        <w:rFonts w:ascii="Times New Roman" w:hAnsi="Times New Roman"/>
        <w:b/>
        <w:sz w:val="16"/>
        <w:szCs w:val="16"/>
      </w:rPr>
      <w:t xml:space="preserve"> от </w:t>
    </w:r>
    <w:r w:rsidRPr="00DB0CA9">
      <w:rPr>
        <w:rFonts w:ascii="Times New Roman" w:hAnsi="Times New Roman"/>
        <w:b/>
        <w:bCs/>
        <w:sz w:val="16"/>
        <w:szCs w:val="16"/>
      </w:rPr>
      <w:fldChar w:fldCharType="begin"/>
    </w:r>
    <w:r w:rsidRPr="00DB0CA9">
      <w:rPr>
        <w:rFonts w:ascii="Times New Roman" w:hAnsi="Times New Roman"/>
        <w:b/>
        <w:bCs/>
        <w:sz w:val="16"/>
        <w:szCs w:val="16"/>
      </w:rPr>
      <w:instrText xml:space="preserve"> NUMPAGES  </w:instrText>
    </w:r>
    <w:r w:rsidRPr="00DB0CA9">
      <w:rPr>
        <w:rFonts w:ascii="Times New Roman" w:hAnsi="Times New Roman"/>
        <w:b/>
        <w:bCs/>
        <w:sz w:val="16"/>
        <w:szCs w:val="16"/>
      </w:rPr>
      <w:fldChar w:fldCharType="separate"/>
    </w:r>
    <w:r w:rsidR="000D2F49">
      <w:rPr>
        <w:rFonts w:ascii="Times New Roman" w:hAnsi="Times New Roman"/>
        <w:b/>
        <w:bCs/>
        <w:noProof/>
        <w:sz w:val="16"/>
        <w:szCs w:val="16"/>
      </w:rPr>
      <w:t>2</w:t>
    </w:r>
    <w:r w:rsidRPr="00DB0CA9">
      <w:rPr>
        <w:rFonts w:ascii="Times New Roman" w:hAnsi="Times New Roman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63D" w:rsidRPr="00D42109" w:rsidRDefault="0065363D" w:rsidP="0065363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="Times New Roman" w:hAnsi="Times New Roman"/>
        <w:i/>
        <w:sz w:val="20"/>
      </w:rPr>
    </w:pPr>
    <w:r w:rsidRPr="00DB0CA9">
      <w:rPr>
        <w:rFonts w:ascii="Times New Roman" w:hAnsi="Times New Roman"/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29" w:rsidRDefault="00C02A29" w:rsidP="004568A7">
      <w:pPr>
        <w:spacing w:after="0"/>
      </w:pPr>
      <w:r>
        <w:separator/>
      </w:r>
    </w:p>
  </w:footnote>
  <w:footnote w:type="continuationSeparator" w:id="0">
    <w:p w:rsidR="00C02A29" w:rsidRDefault="00C02A29" w:rsidP="004568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C2D"/>
    <w:multiLevelType w:val="hybridMultilevel"/>
    <w:tmpl w:val="8C5AF4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CEB"/>
    <w:multiLevelType w:val="hybridMultilevel"/>
    <w:tmpl w:val="320E8F7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145B1"/>
    <w:multiLevelType w:val="hybridMultilevel"/>
    <w:tmpl w:val="90463B24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4FD26BB1"/>
    <w:multiLevelType w:val="hybridMultilevel"/>
    <w:tmpl w:val="5260AA94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534014DD"/>
    <w:multiLevelType w:val="hybridMultilevel"/>
    <w:tmpl w:val="289063FA"/>
    <w:lvl w:ilvl="0" w:tplc="0402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F1762"/>
    <w:multiLevelType w:val="hybridMultilevel"/>
    <w:tmpl w:val="E79C079E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D29C4"/>
    <w:multiLevelType w:val="hybridMultilevel"/>
    <w:tmpl w:val="0ED0B0DE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14612"/>
    <w:rsid w:val="00016896"/>
    <w:rsid w:val="00016B4E"/>
    <w:rsid w:val="00023D4D"/>
    <w:rsid w:val="000257D5"/>
    <w:rsid w:val="0005265F"/>
    <w:rsid w:val="0005560F"/>
    <w:rsid w:val="0006327B"/>
    <w:rsid w:val="00064C9B"/>
    <w:rsid w:val="00065873"/>
    <w:rsid w:val="000851AE"/>
    <w:rsid w:val="000853F9"/>
    <w:rsid w:val="000864B6"/>
    <w:rsid w:val="000879ED"/>
    <w:rsid w:val="00094215"/>
    <w:rsid w:val="000A68D9"/>
    <w:rsid w:val="000A7901"/>
    <w:rsid w:val="000B498E"/>
    <w:rsid w:val="000C26E1"/>
    <w:rsid w:val="000C3DF0"/>
    <w:rsid w:val="000D2F49"/>
    <w:rsid w:val="000D50B9"/>
    <w:rsid w:val="000F40E1"/>
    <w:rsid w:val="000F7A0F"/>
    <w:rsid w:val="001043BF"/>
    <w:rsid w:val="00113E2C"/>
    <w:rsid w:val="00126555"/>
    <w:rsid w:val="00152F23"/>
    <w:rsid w:val="00155B77"/>
    <w:rsid w:val="0016707E"/>
    <w:rsid w:val="00182180"/>
    <w:rsid w:val="001A08D6"/>
    <w:rsid w:val="001D1884"/>
    <w:rsid w:val="001D7F92"/>
    <w:rsid w:val="001E269B"/>
    <w:rsid w:val="001E5CFD"/>
    <w:rsid w:val="002061BC"/>
    <w:rsid w:val="00236E43"/>
    <w:rsid w:val="0023700C"/>
    <w:rsid w:val="00247168"/>
    <w:rsid w:val="0024731C"/>
    <w:rsid w:val="002663C2"/>
    <w:rsid w:val="00267F02"/>
    <w:rsid w:val="00274543"/>
    <w:rsid w:val="00277B2B"/>
    <w:rsid w:val="002802AD"/>
    <w:rsid w:val="00280FC1"/>
    <w:rsid w:val="00284BF9"/>
    <w:rsid w:val="00285E25"/>
    <w:rsid w:val="00292933"/>
    <w:rsid w:val="00293DC3"/>
    <w:rsid w:val="002946C4"/>
    <w:rsid w:val="002C1D3A"/>
    <w:rsid w:val="002D3CB0"/>
    <w:rsid w:val="002D6CC6"/>
    <w:rsid w:val="002E37E0"/>
    <w:rsid w:val="002F2D35"/>
    <w:rsid w:val="00314B2B"/>
    <w:rsid w:val="00314B6A"/>
    <w:rsid w:val="00324E9F"/>
    <w:rsid w:val="0033082E"/>
    <w:rsid w:val="00337B04"/>
    <w:rsid w:val="003477B9"/>
    <w:rsid w:val="00351063"/>
    <w:rsid w:val="00352CDA"/>
    <w:rsid w:val="00364586"/>
    <w:rsid w:val="00372C00"/>
    <w:rsid w:val="003764EB"/>
    <w:rsid w:val="00380C60"/>
    <w:rsid w:val="00380C9B"/>
    <w:rsid w:val="003911F8"/>
    <w:rsid w:val="003916A4"/>
    <w:rsid w:val="00394AA9"/>
    <w:rsid w:val="00396BBC"/>
    <w:rsid w:val="003A3CA8"/>
    <w:rsid w:val="003A4582"/>
    <w:rsid w:val="003A614F"/>
    <w:rsid w:val="003C1E9E"/>
    <w:rsid w:val="003D15A6"/>
    <w:rsid w:val="003D3E33"/>
    <w:rsid w:val="003D5314"/>
    <w:rsid w:val="003F05E8"/>
    <w:rsid w:val="00402D7D"/>
    <w:rsid w:val="00407932"/>
    <w:rsid w:val="00421A3A"/>
    <w:rsid w:val="00431CC4"/>
    <w:rsid w:val="00445B87"/>
    <w:rsid w:val="00453ECB"/>
    <w:rsid w:val="004568A7"/>
    <w:rsid w:val="00470406"/>
    <w:rsid w:val="00473BEA"/>
    <w:rsid w:val="004B6A98"/>
    <w:rsid w:val="004D5712"/>
    <w:rsid w:val="004D7821"/>
    <w:rsid w:val="0050294F"/>
    <w:rsid w:val="005354C0"/>
    <w:rsid w:val="00546514"/>
    <w:rsid w:val="0054673B"/>
    <w:rsid w:val="00551C3A"/>
    <w:rsid w:val="00554C35"/>
    <w:rsid w:val="00555903"/>
    <w:rsid w:val="00562FF2"/>
    <w:rsid w:val="00564081"/>
    <w:rsid w:val="005717CC"/>
    <w:rsid w:val="005806A8"/>
    <w:rsid w:val="00585DEB"/>
    <w:rsid w:val="005860E2"/>
    <w:rsid w:val="005B5E64"/>
    <w:rsid w:val="005D3149"/>
    <w:rsid w:val="005D479D"/>
    <w:rsid w:val="005D55AD"/>
    <w:rsid w:val="005D5C5F"/>
    <w:rsid w:val="005E7DC8"/>
    <w:rsid w:val="005F1939"/>
    <w:rsid w:val="005F2242"/>
    <w:rsid w:val="005F3A5F"/>
    <w:rsid w:val="005F7FB1"/>
    <w:rsid w:val="00602DA4"/>
    <w:rsid w:val="00644145"/>
    <w:rsid w:val="0065363D"/>
    <w:rsid w:val="00664A4E"/>
    <w:rsid w:val="006717EA"/>
    <w:rsid w:val="006718A8"/>
    <w:rsid w:val="006746B3"/>
    <w:rsid w:val="006B1131"/>
    <w:rsid w:val="006B5775"/>
    <w:rsid w:val="006C05A6"/>
    <w:rsid w:val="006D4637"/>
    <w:rsid w:val="006E1025"/>
    <w:rsid w:val="00704F5C"/>
    <w:rsid w:val="00715FD8"/>
    <w:rsid w:val="00726965"/>
    <w:rsid w:val="007410CC"/>
    <w:rsid w:val="00755B26"/>
    <w:rsid w:val="00771F50"/>
    <w:rsid w:val="00772679"/>
    <w:rsid w:val="00776C85"/>
    <w:rsid w:val="00787FB0"/>
    <w:rsid w:val="00792AE1"/>
    <w:rsid w:val="00793746"/>
    <w:rsid w:val="007B4B7B"/>
    <w:rsid w:val="007C0013"/>
    <w:rsid w:val="007C039F"/>
    <w:rsid w:val="007C2C1B"/>
    <w:rsid w:val="007D0247"/>
    <w:rsid w:val="007D5CC8"/>
    <w:rsid w:val="007F4C8D"/>
    <w:rsid w:val="008004E3"/>
    <w:rsid w:val="00844479"/>
    <w:rsid w:val="00852EF9"/>
    <w:rsid w:val="008569ED"/>
    <w:rsid w:val="008A6764"/>
    <w:rsid w:val="008B046F"/>
    <w:rsid w:val="008F2C9B"/>
    <w:rsid w:val="008F5607"/>
    <w:rsid w:val="00903FB2"/>
    <w:rsid w:val="0092716C"/>
    <w:rsid w:val="00956F84"/>
    <w:rsid w:val="009575CC"/>
    <w:rsid w:val="00963F26"/>
    <w:rsid w:val="00966D54"/>
    <w:rsid w:val="0097308C"/>
    <w:rsid w:val="00981CBD"/>
    <w:rsid w:val="009839CB"/>
    <w:rsid w:val="00987BBE"/>
    <w:rsid w:val="00992B6D"/>
    <w:rsid w:val="009A3050"/>
    <w:rsid w:val="009A6001"/>
    <w:rsid w:val="009A61B7"/>
    <w:rsid w:val="009B6F55"/>
    <w:rsid w:val="009D1A1B"/>
    <w:rsid w:val="009D287A"/>
    <w:rsid w:val="009D454A"/>
    <w:rsid w:val="009E3DA0"/>
    <w:rsid w:val="00A07BE3"/>
    <w:rsid w:val="00A11132"/>
    <w:rsid w:val="00A51279"/>
    <w:rsid w:val="00A575B4"/>
    <w:rsid w:val="00A75F5C"/>
    <w:rsid w:val="00A8338D"/>
    <w:rsid w:val="00A86130"/>
    <w:rsid w:val="00A93794"/>
    <w:rsid w:val="00AC0E7F"/>
    <w:rsid w:val="00AC6248"/>
    <w:rsid w:val="00AD0B36"/>
    <w:rsid w:val="00AE4086"/>
    <w:rsid w:val="00AF3A33"/>
    <w:rsid w:val="00AF598D"/>
    <w:rsid w:val="00B23EDE"/>
    <w:rsid w:val="00B30A33"/>
    <w:rsid w:val="00B33F9E"/>
    <w:rsid w:val="00B640FB"/>
    <w:rsid w:val="00B75004"/>
    <w:rsid w:val="00B90C49"/>
    <w:rsid w:val="00BB2188"/>
    <w:rsid w:val="00BC79FA"/>
    <w:rsid w:val="00BD0BD2"/>
    <w:rsid w:val="00BE1406"/>
    <w:rsid w:val="00BE7731"/>
    <w:rsid w:val="00BF6FA0"/>
    <w:rsid w:val="00C02A29"/>
    <w:rsid w:val="00C0393A"/>
    <w:rsid w:val="00C21F69"/>
    <w:rsid w:val="00C25A9E"/>
    <w:rsid w:val="00C307F0"/>
    <w:rsid w:val="00C45E18"/>
    <w:rsid w:val="00C64073"/>
    <w:rsid w:val="00C71430"/>
    <w:rsid w:val="00C75F4B"/>
    <w:rsid w:val="00C768F9"/>
    <w:rsid w:val="00C7746E"/>
    <w:rsid w:val="00C875AB"/>
    <w:rsid w:val="00C948A8"/>
    <w:rsid w:val="00CA4F64"/>
    <w:rsid w:val="00CA5AC0"/>
    <w:rsid w:val="00CD1444"/>
    <w:rsid w:val="00CF0631"/>
    <w:rsid w:val="00CF1760"/>
    <w:rsid w:val="00D04285"/>
    <w:rsid w:val="00D31A0E"/>
    <w:rsid w:val="00D31CCD"/>
    <w:rsid w:val="00D34E9D"/>
    <w:rsid w:val="00D4506B"/>
    <w:rsid w:val="00D50DE1"/>
    <w:rsid w:val="00D515AF"/>
    <w:rsid w:val="00D559BC"/>
    <w:rsid w:val="00D61D62"/>
    <w:rsid w:val="00D640D4"/>
    <w:rsid w:val="00D71609"/>
    <w:rsid w:val="00D86B21"/>
    <w:rsid w:val="00DA2187"/>
    <w:rsid w:val="00DA5512"/>
    <w:rsid w:val="00DB03B1"/>
    <w:rsid w:val="00DB0697"/>
    <w:rsid w:val="00DD01B2"/>
    <w:rsid w:val="00DE33AD"/>
    <w:rsid w:val="00DE708B"/>
    <w:rsid w:val="00DE7A64"/>
    <w:rsid w:val="00E0047F"/>
    <w:rsid w:val="00E05D74"/>
    <w:rsid w:val="00E14879"/>
    <w:rsid w:val="00E24F94"/>
    <w:rsid w:val="00E32AC1"/>
    <w:rsid w:val="00E56E16"/>
    <w:rsid w:val="00E57CBF"/>
    <w:rsid w:val="00E94A73"/>
    <w:rsid w:val="00E96260"/>
    <w:rsid w:val="00EC5EF3"/>
    <w:rsid w:val="00ED1FBD"/>
    <w:rsid w:val="00EE0DDB"/>
    <w:rsid w:val="00EF021C"/>
    <w:rsid w:val="00EF1144"/>
    <w:rsid w:val="00F03BC9"/>
    <w:rsid w:val="00F1178C"/>
    <w:rsid w:val="00F175B5"/>
    <w:rsid w:val="00F3067F"/>
    <w:rsid w:val="00F343E9"/>
    <w:rsid w:val="00F501F3"/>
    <w:rsid w:val="00F65858"/>
    <w:rsid w:val="00F73064"/>
    <w:rsid w:val="00F8315B"/>
    <w:rsid w:val="00FA56F0"/>
    <w:rsid w:val="00FA7C0A"/>
    <w:rsid w:val="00FB1701"/>
    <w:rsid w:val="00FC2A56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87"/>
    <w:pPr>
      <w:spacing w:line="240" w:lineRule="auto"/>
      <w:ind w:firstLine="737"/>
      <w:jc w:val="both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9575CC"/>
    <w:pPr>
      <w:numPr>
        <w:numId w:val="2"/>
      </w:numPr>
      <w:spacing w:after="0"/>
      <w:ind w:left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9575CC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B640FB"/>
    <w:pPr>
      <w:spacing w:after="0" w:line="240" w:lineRule="auto"/>
      <w:ind w:firstLine="737"/>
      <w:jc w:val="both"/>
    </w:pPr>
  </w:style>
  <w:style w:type="paragraph" w:styleId="Title">
    <w:name w:val="Title"/>
    <w:basedOn w:val="Normal"/>
    <w:next w:val="Normal"/>
    <w:link w:val="TitleChar"/>
    <w:uiPriority w:val="10"/>
    <w:qFormat/>
    <w:rsid w:val="00792AE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AE1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styleId="SubtleReference">
    <w:name w:val="Subtle Reference"/>
    <w:basedOn w:val="DefaultParagraphFont"/>
    <w:uiPriority w:val="31"/>
    <w:qFormat/>
    <w:rsid w:val="00B640FB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B640F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0F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B640FB"/>
    <w:rPr>
      <w:b/>
      <w:bCs/>
    </w:rPr>
  </w:style>
  <w:style w:type="character" w:styleId="Emphasis">
    <w:name w:val="Emphasis"/>
    <w:basedOn w:val="DefaultParagraphFont"/>
    <w:uiPriority w:val="20"/>
    <w:qFormat/>
    <w:rsid w:val="00B640FB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640FB"/>
    <w:rPr>
      <w:rFonts w:asciiTheme="minorHAnsi" w:hAnsiTheme="minorHAnsi"/>
      <w:i w:val="0"/>
      <w:iCs/>
      <w:color w:val="000000" w:themeColor="text1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0FB"/>
    <w:pPr>
      <w:numPr>
        <w:ilvl w:val="1"/>
      </w:numPr>
      <w:ind w:firstLine="737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40FB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53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00067-5E85-4C32-8296-F3042627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Windows User</cp:lastModifiedBy>
  <cp:revision>2</cp:revision>
  <cp:lastPrinted>2019-12-12T11:39:00Z</cp:lastPrinted>
  <dcterms:created xsi:type="dcterms:W3CDTF">2023-01-30T09:51:00Z</dcterms:created>
  <dcterms:modified xsi:type="dcterms:W3CDTF">2023-01-30T09:51:00Z</dcterms:modified>
</cp:coreProperties>
</file>